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B241" w14:textId="77777777" w:rsidR="002B345A" w:rsidRDefault="002B345A" w:rsidP="0039770D">
      <w:pPr>
        <w:keepNext/>
        <w:keepLines/>
        <w:jc w:val="both"/>
        <w:rPr>
          <w:b/>
          <w:u w:val="single"/>
        </w:rPr>
      </w:pPr>
      <w:r>
        <w:rPr>
          <w:b/>
          <w:u w:val="single"/>
        </w:rPr>
        <w:t>DIAMOND GRINDING CONCRETE PAVEMENT:</w:t>
      </w:r>
    </w:p>
    <w:tbl>
      <w:tblPr>
        <w:tblW w:w="0" w:type="auto"/>
        <w:tblLook w:val="01E0" w:firstRow="1" w:lastRow="1" w:firstColumn="1" w:lastColumn="1" w:noHBand="0" w:noVBand="0"/>
      </w:tblPr>
      <w:tblGrid>
        <w:gridCol w:w="4684"/>
        <w:gridCol w:w="4676"/>
      </w:tblGrid>
      <w:tr w:rsidR="002B345A" w:rsidRPr="001F7A2B" w14:paraId="3EAB7345" w14:textId="77777777" w:rsidTr="001F7A2B">
        <w:tc>
          <w:tcPr>
            <w:tcW w:w="4788" w:type="dxa"/>
            <w:shd w:val="clear" w:color="auto" w:fill="auto"/>
          </w:tcPr>
          <w:p w14:paraId="08F22E0D" w14:textId="0F4A1876" w:rsidR="002B345A" w:rsidRPr="003803EB" w:rsidRDefault="00B86947" w:rsidP="000E3778">
            <w:pPr>
              <w:keepNext/>
              <w:keepLines/>
              <w:jc w:val="both"/>
              <w:rPr>
                <w:sz w:val="16"/>
                <w:szCs w:val="16"/>
              </w:rPr>
            </w:pPr>
            <w:r>
              <w:rPr>
                <w:sz w:val="16"/>
                <w:szCs w:val="16"/>
              </w:rPr>
              <w:t xml:space="preserve">   </w:t>
            </w:r>
            <w:r w:rsidR="00EB7325" w:rsidRPr="003803EB">
              <w:rPr>
                <w:sz w:val="16"/>
                <w:szCs w:val="16"/>
              </w:rPr>
              <w:t>(4-15-</w:t>
            </w:r>
            <w:r w:rsidR="000034B7">
              <w:rPr>
                <w:sz w:val="16"/>
                <w:szCs w:val="16"/>
              </w:rPr>
              <w:t>0</w:t>
            </w:r>
            <w:r w:rsidR="00EB7325" w:rsidRPr="003803EB">
              <w:rPr>
                <w:sz w:val="16"/>
                <w:szCs w:val="16"/>
              </w:rPr>
              <w:t>8)</w:t>
            </w:r>
            <w:r>
              <w:rPr>
                <w:sz w:val="16"/>
                <w:szCs w:val="16"/>
              </w:rPr>
              <w:t xml:space="preserve">(Rev. </w:t>
            </w:r>
            <w:r w:rsidR="00040BD7">
              <w:rPr>
                <w:sz w:val="16"/>
                <w:szCs w:val="16"/>
              </w:rPr>
              <w:t>7</w:t>
            </w:r>
            <w:r>
              <w:rPr>
                <w:sz w:val="16"/>
                <w:szCs w:val="16"/>
              </w:rPr>
              <w:t>-</w:t>
            </w:r>
            <w:r w:rsidR="00040BD7">
              <w:rPr>
                <w:sz w:val="16"/>
                <w:szCs w:val="16"/>
              </w:rPr>
              <w:t>15</w:t>
            </w:r>
            <w:r>
              <w:rPr>
                <w:sz w:val="16"/>
                <w:szCs w:val="16"/>
              </w:rPr>
              <w:t>-</w:t>
            </w:r>
            <w:r w:rsidR="00040BD7">
              <w:rPr>
                <w:sz w:val="16"/>
                <w:szCs w:val="16"/>
              </w:rPr>
              <w:t>25</w:t>
            </w:r>
            <w:r>
              <w:rPr>
                <w:sz w:val="16"/>
                <w:szCs w:val="16"/>
              </w:rPr>
              <w:t>)</w:t>
            </w:r>
          </w:p>
        </w:tc>
        <w:tc>
          <w:tcPr>
            <w:tcW w:w="4788" w:type="dxa"/>
            <w:shd w:val="clear" w:color="auto" w:fill="auto"/>
          </w:tcPr>
          <w:p w14:paraId="4DDD524F" w14:textId="77777777" w:rsidR="002B345A" w:rsidRPr="001F7A2B" w:rsidRDefault="002B345A" w:rsidP="001C1799">
            <w:pPr>
              <w:keepNext/>
              <w:keepLines/>
              <w:jc w:val="right"/>
              <w:rPr>
                <w:sz w:val="16"/>
                <w:szCs w:val="16"/>
              </w:rPr>
            </w:pPr>
            <w:r w:rsidRPr="003803EB">
              <w:rPr>
                <w:sz w:val="16"/>
                <w:szCs w:val="16"/>
              </w:rPr>
              <w:t>SPI</w:t>
            </w:r>
            <w:r w:rsidR="00C867BF" w:rsidRPr="003803EB">
              <w:rPr>
                <w:sz w:val="16"/>
                <w:szCs w:val="16"/>
              </w:rPr>
              <w:t xml:space="preserve"> 7-9</w:t>
            </w:r>
            <w:r w:rsidR="000057E2">
              <w:rPr>
                <w:sz w:val="16"/>
                <w:szCs w:val="16"/>
              </w:rPr>
              <w:t>A</w:t>
            </w:r>
          </w:p>
        </w:tc>
      </w:tr>
    </w:tbl>
    <w:p w14:paraId="5271FE59" w14:textId="77777777" w:rsidR="002B345A" w:rsidRPr="002B345A" w:rsidRDefault="002B345A" w:rsidP="0039770D">
      <w:pPr>
        <w:keepNext/>
        <w:keepLines/>
        <w:jc w:val="both"/>
        <w:rPr>
          <w:sz w:val="16"/>
          <w:szCs w:val="16"/>
        </w:rPr>
      </w:pPr>
    </w:p>
    <w:p w14:paraId="7A3785D4" w14:textId="77777777" w:rsidR="002B345A" w:rsidRPr="002B345A" w:rsidRDefault="002B345A" w:rsidP="0039770D">
      <w:pPr>
        <w:keepNext/>
        <w:keepLines/>
        <w:jc w:val="both"/>
        <w:rPr>
          <w:b/>
        </w:rPr>
      </w:pPr>
      <w:r w:rsidRPr="002B345A">
        <w:rPr>
          <w:b/>
        </w:rPr>
        <w:t>Description</w:t>
      </w:r>
    </w:p>
    <w:p w14:paraId="3F160CA1" w14:textId="77777777" w:rsidR="002B345A" w:rsidRPr="000F7A49" w:rsidRDefault="002B345A" w:rsidP="0039770D">
      <w:pPr>
        <w:keepNext/>
        <w:keepLines/>
        <w:jc w:val="both"/>
      </w:pPr>
    </w:p>
    <w:p w14:paraId="4BEF44A5" w14:textId="1EE31E24" w:rsidR="002B345A" w:rsidRDefault="002B345A" w:rsidP="0039770D">
      <w:pPr>
        <w:keepNext/>
        <w:keepLines/>
        <w:jc w:val="both"/>
      </w:pPr>
      <w:r w:rsidRPr="000F7A49">
        <w:t xml:space="preserve">Perform the work covered by this provision including but not limited to diamond </w:t>
      </w:r>
      <w:r>
        <w:t>g</w:t>
      </w:r>
      <w:r w:rsidRPr="000F7A49">
        <w:t xml:space="preserve">rinding and regrinding concrete pavement to meet final </w:t>
      </w:r>
      <w:r>
        <w:t>sur</w:t>
      </w:r>
      <w:r w:rsidRPr="000F7A49">
        <w:t xml:space="preserve">face </w:t>
      </w:r>
      <w:r w:rsidR="00A07825">
        <w:t xml:space="preserve">acceptable smoothness </w:t>
      </w:r>
      <w:r w:rsidRPr="000F7A49">
        <w:t xml:space="preserve">requirements </w:t>
      </w:r>
      <w:r>
        <w:t>d</w:t>
      </w:r>
      <w:r w:rsidRPr="000F7A49">
        <w:t xml:space="preserve">etailed </w:t>
      </w:r>
      <w:r>
        <w:t>in</w:t>
      </w:r>
      <w:r w:rsidR="00ED66BE">
        <w:t xml:space="preserve"> </w:t>
      </w:r>
      <w:r w:rsidRPr="000F7A49">
        <w:t>Article</w:t>
      </w:r>
      <w:r>
        <w:t> </w:t>
      </w:r>
      <w:r w:rsidRPr="000F7A49">
        <w:t>710-7</w:t>
      </w:r>
      <w:r w:rsidR="00697D29">
        <w:t xml:space="preserve"> of the </w:t>
      </w:r>
      <w:r w:rsidR="00697D29" w:rsidRPr="00C70E5F">
        <w:rPr>
          <w:i/>
          <w:iCs/>
        </w:rPr>
        <w:t>Standard Specifications</w:t>
      </w:r>
      <w:r w:rsidRPr="000F7A49">
        <w:t xml:space="preserve">, </w:t>
      </w:r>
      <w:r>
        <w:t>s</w:t>
      </w:r>
      <w:r w:rsidRPr="000F7A49">
        <w:t xml:space="preserve">electing </w:t>
      </w:r>
      <w:r>
        <w:t>diamond</w:t>
      </w:r>
      <w:r w:rsidRPr="000F7A49">
        <w:t xml:space="preserve"> tipped saw blades and configuration of cutting head; continual </w:t>
      </w:r>
      <w:r>
        <w:t>r</w:t>
      </w:r>
      <w:r w:rsidRPr="000F7A49">
        <w:t xml:space="preserve">emoval of residual slurry from pavement and disposal; furnishing all labor, materials, supplies, </w:t>
      </w:r>
      <w:r w:rsidRPr="002B4AB1">
        <w:t xml:space="preserve">tools, equipment and incidentals as necessary. </w:t>
      </w:r>
      <w:r w:rsidR="008C48DD" w:rsidRPr="002B4AB1">
        <w:t xml:space="preserve"> </w:t>
      </w:r>
      <w:r w:rsidRPr="002B4AB1">
        <w:t xml:space="preserve">Perform this work </w:t>
      </w:r>
      <w:r w:rsidR="00E967B1" w:rsidRPr="002B4AB1">
        <w:t>on all new concrete pavement</w:t>
      </w:r>
      <w:r w:rsidRPr="002B4AB1">
        <w:t xml:space="preserve"> or as directed by the </w:t>
      </w:r>
      <w:r w:rsidR="00292D17" w:rsidRPr="002B4AB1">
        <w:t>E</w:t>
      </w:r>
      <w:r w:rsidRPr="002B4AB1">
        <w:t>ngineer.</w:t>
      </w:r>
      <w:r w:rsidR="00A07825">
        <w:t xml:space="preserve">  </w:t>
      </w:r>
    </w:p>
    <w:p w14:paraId="352944B6" w14:textId="77777777" w:rsidR="00502F91" w:rsidRDefault="00502F91" w:rsidP="0039770D">
      <w:pPr>
        <w:keepNext/>
        <w:keepLines/>
        <w:jc w:val="both"/>
      </w:pPr>
    </w:p>
    <w:p w14:paraId="0B3DBAA2" w14:textId="00A895E8" w:rsidR="00502F91" w:rsidRPr="00502F91" w:rsidRDefault="00502F91" w:rsidP="00502F91">
      <w:pPr>
        <w:jc w:val="both"/>
      </w:pPr>
      <w:r w:rsidRPr="00502F91">
        <w:t xml:space="preserve">Prior to beginning any </w:t>
      </w:r>
      <w:r>
        <w:t>diamond grinding operations,</w:t>
      </w:r>
      <w:r w:rsidRPr="00502F91">
        <w:t xml:space="preserve"> schedule a pre-</w:t>
      </w:r>
      <w:r>
        <w:t>grind</w:t>
      </w:r>
      <w:r w:rsidRPr="00502F91">
        <w:t xml:space="preserve"> meeting with </w:t>
      </w:r>
      <w:bookmarkStart w:id="0" w:name="_Hlk198190729"/>
      <w:r w:rsidR="009C2170">
        <w:t xml:space="preserve">the Engineer.  The Contractor and </w:t>
      </w:r>
      <w:bookmarkEnd w:id="0"/>
      <w:r>
        <w:t>grinding subcontractor</w:t>
      </w:r>
      <w:r w:rsidR="009C2170">
        <w:t xml:space="preserve"> </w:t>
      </w:r>
      <w:bookmarkStart w:id="1" w:name="_Hlk198190753"/>
      <w:r w:rsidR="009C2170">
        <w:t>shall attend the pre-grind meeting</w:t>
      </w:r>
      <w:bookmarkEnd w:id="1"/>
      <w:r w:rsidRPr="00502F91">
        <w:t xml:space="preserve">. </w:t>
      </w:r>
    </w:p>
    <w:p w14:paraId="5A2D9B63" w14:textId="77777777" w:rsidR="002B345A" w:rsidRDefault="002B345A" w:rsidP="002B345A">
      <w:pPr>
        <w:jc w:val="both"/>
      </w:pPr>
    </w:p>
    <w:p w14:paraId="22AF0A32" w14:textId="77777777" w:rsidR="002B345A" w:rsidRPr="002B345A" w:rsidRDefault="002B345A" w:rsidP="003803EB">
      <w:pPr>
        <w:keepNext/>
        <w:keepLines/>
        <w:jc w:val="both"/>
        <w:rPr>
          <w:b/>
        </w:rPr>
      </w:pPr>
      <w:r w:rsidRPr="002B345A">
        <w:rPr>
          <w:b/>
        </w:rPr>
        <w:t>Equipment</w:t>
      </w:r>
    </w:p>
    <w:p w14:paraId="3026E2DA" w14:textId="77777777" w:rsidR="002B345A" w:rsidRPr="000F7A49" w:rsidRDefault="002B345A" w:rsidP="003803EB">
      <w:pPr>
        <w:keepNext/>
        <w:keepLines/>
        <w:jc w:val="both"/>
      </w:pPr>
    </w:p>
    <w:p w14:paraId="5ED991FF" w14:textId="77777777" w:rsidR="002B345A" w:rsidRPr="000F7A49" w:rsidRDefault="002B345A" w:rsidP="002B345A">
      <w:pPr>
        <w:jc w:val="both"/>
      </w:pPr>
      <w:r w:rsidRPr="000F7A49">
        <w:t xml:space="preserve">Use equipment with diamond tipped saw blades gang mounted on a power driven </w:t>
      </w:r>
      <w:r w:rsidR="00835962">
        <w:t>s</w:t>
      </w:r>
      <w:r w:rsidR="00835962" w:rsidRPr="000F7A49">
        <w:t>elf-propelled</w:t>
      </w:r>
      <w:r w:rsidRPr="000F7A49">
        <w:t xml:space="preserve"> machine with a minimum wheel base length of 15 feet that is </w:t>
      </w:r>
      <w:r>
        <w:t>s</w:t>
      </w:r>
      <w:r w:rsidRPr="000F7A49">
        <w:t xml:space="preserve">pecifically designed to smooth and texture Portland Cement </w:t>
      </w:r>
      <w:r>
        <w:t>Concrete pavement</w:t>
      </w:r>
      <w:r w:rsidRPr="000F7A49">
        <w:t>. Utilize</w:t>
      </w:r>
      <w:r>
        <w:t xml:space="preserve"> </w:t>
      </w:r>
      <w:r w:rsidRPr="000F7A49">
        <w:t xml:space="preserve">equipment that does not cause ravels; aggregate fracture; </w:t>
      </w:r>
      <w:r>
        <w:t>s</w:t>
      </w:r>
      <w:r w:rsidRPr="000F7A49">
        <w:t xml:space="preserve">palls or disturbance to the </w:t>
      </w:r>
      <w:r>
        <w:t>l</w:t>
      </w:r>
      <w:r w:rsidRPr="000F7A49">
        <w:t xml:space="preserve">ongitudinal or transverse joints; or damage and/or strain to </w:t>
      </w:r>
      <w:r>
        <w:t>the</w:t>
      </w:r>
      <w:r w:rsidRPr="000F7A49">
        <w:t xml:space="preserve"> underlying surface of </w:t>
      </w:r>
      <w:r>
        <w:t>the pavement</w:t>
      </w:r>
      <w:r w:rsidRPr="000F7A49">
        <w:t xml:space="preserve">. Should any of the above problems occur </w:t>
      </w:r>
      <w:r>
        <w:t>immediately</w:t>
      </w:r>
      <w:r w:rsidRPr="000F7A49">
        <w:t xml:space="preserve"> suspend operations.</w:t>
      </w:r>
    </w:p>
    <w:p w14:paraId="5BC2C471" w14:textId="77777777" w:rsidR="002B345A" w:rsidRDefault="002B345A" w:rsidP="002B345A">
      <w:pPr>
        <w:jc w:val="both"/>
      </w:pPr>
    </w:p>
    <w:p w14:paraId="59F716F7" w14:textId="77777777" w:rsidR="002B345A" w:rsidRPr="000F7A49" w:rsidRDefault="002B345A" w:rsidP="002B345A">
      <w:pPr>
        <w:jc w:val="both"/>
      </w:pPr>
      <w:r w:rsidRPr="000F7A49">
        <w:t xml:space="preserve">Provide a minimum 3 feet wide grinding </w:t>
      </w:r>
      <w:r>
        <w:t>head</w:t>
      </w:r>
      <w:r w:rsidRPr="000F7A49">
        <w:t xml:space="preserve"> with 50 to 60 evenly spaced grooves per foot. Prior to designing the grinding head, evaluate </w:t>
      </w:r>
      <w:r>
        <w:t>t</w:t>
      </w:r>
      <w:r w:rsidRPr="000F7A49">
        <w:t>he aggr</w:t>
      </w:r>
      <w:r>
        <w:t>e</w:t>
      </w:r>
      <w:r w:rsidRPr="000F7A49">
        <w:t xml:space="preserve">gate hardness of the concrete pavement and select the appropriate diamond size, </w:t>
      </w:r>
      <w:r>
        <w:t xml:space="preserve">diamond </w:t>
      </w:r>
      <w:r w:rsidRPr="000F7A49">
        <w:t>concentration and bond hardness for the individual saw blades.</w:t>
      </w:r>
    </w:p>
    <w:p w14:paraId="7738DB7E" w14:textId="77777777" w:rsidR="002B345A" w:rsidRDefault="002B345A" w:rsidP="002B345A">
      <w:pPr>
        <w:jc w:val="both"/>
      </w:pPr>
    </w:p>
    <w:p w14:paraId="5B4961D7" w14:textId="77777777" w:rsidR="002B345A" w:rsidRPr="000F7A49" w:rsidRDefault="002B345A" w:rsidP="002B345A">
      <w:pPr>
        <w:jc w:val="both"/>
      </w:pPr>
      <w:r w:rsidRPr="000F7A49">
        <w:t xml:space="preserve">Provide vacuuming equipment to continuously </w:t>
      </w:r>
      <w:r>
        <w:t>remove</w:t>
      </w:r>
      <w:r w:rsidRPr="000F7A49">
        <w:t xml:space="preserve"> slurry residue and excess </w:t>
      </w:r>
      <w:r>
        <w:t>water from</w:t>
      </w:r>
      <w:r w:rsidRPr="000F7A49">
        <w:t xml:space="preserve"> the pavement as part of the grinding operation. </w:t>
      </w:r>
      <w:r w:rsidR="00D96215">
        <w:t xml:space="preserve">Transport slurry material off-site and dispose of this material appropriately.  </w:t>
      </w:r>
      <w:r w:rsidRPr="000F7A49">
        <w:t xml:space="preserve">Do not </w:t>
      </w:r>
      <w:r>
        <w:t>allow</w:t>
      </w:r>
      <w:r w:rsidRPr="000F7A49">
        <w:t xml:space="preserve"> the slurry material to flow </w:t>
      </w:r>
      <w:r>
        <w:t>i</w:t>
      </w:r>
      <w:r w:rsidRPr="000F7A49">
        <w:t xml:space="preserve">nto a travel lane occupied by traffic or into any drainage </w:t>
      </w:r>
      <w:r>
        <w:t>facility</w:t>
      </w:r>
      <w:r w:rsidRPr="000F7A49">
        <w:t>.</w:t>
      </w:r>
    </w:p>
    <w:p w14:paraId="293B52B1" w14:textId="77777777" w:rsidR="002B345A" w:rsidRPr="000F7A49" w:rsidRDefault="002B345A" w:rsidP="002B345A">
      <w:pPr>
        <w:jc w:val="both"/>
      </w:pPr>
    </w:p>
    <w:p w14:paraId="63E0251E" w14:textId="77777777" w:rsidR="002B345A" w:rsidRPr="002B345A" w:rsidRDefault="002B345A" w:rsidP="003803EB">
      <w:pPr>
        <w:keepNext/>
        <w:keepLines/>
        <w:jc w:val="both"/>
        <w:rPr>
          <w:b/>
        </w:rPr>
      </w:pPr>
      <w:r>
        <w:rPr>
          <w:b/>
        </w:rPr>
        <w:t xml:space="preserve">Method of </w:t>
      </w:r>
      <w:r w:rsidRPr="002B345A">
        <w:rPr>
          <w:b/>
        </w:rPr>
        <w:t>Construction</w:t>
      </w:r>
    </w:p>
    <w:p w14:paraId="28FCE16B" w14:textId="77777777" w:rsidR="002B345A" w:rsidRPr="002B345A" w:rsidRDefault="002B345A" w:rsidP="003803EB">
      <w:pPr>
        <w:keepNext/>
        <w:keepLines/>
        <w:jc w:val="both"/>
      </w:pPr>
    </w:p>
    <w:p w14:paraId="08608078" w14:textId="77777777" w:rsidR="002B345A" w:rsidRPr="000F7A49" w:rsidRDefault="002B345A" w:rsidP="002B345A">
      <w:pPr>
        <w:jc w:val="both"/>
      </w:pPr>
      <w:r w:rsidRPr="000F7A49">
        <w:t xml:space="preserve">Grind the pavement surface to a uniform appearance with a high skid resistant longitudinal corduroy type texture. Provide grooves between 0.09 and 0.15 inches wide with the land area between the </w:t>
      </w:r>
      <w:r>
        <w:t>grooves</w:t>
      </w:r>
      <w:r w:rsidRPr="000F7A49">
        <w:t xml:space="preserve"> between 0.06 </w:t>
      </w:r>
      <w:r>
        <w:t>and</w:t>
      </w:r>
      <w:r w:rsidRPr="000F7A49">
        <w:t xml:space="preserve"> 0.13 inches wide. Ensure a ridge peak </w:t>
      </w:r>
      <w:r>
        <w:t>of approximately</w:t>
      </w:r>
      <w:r w:rsidRPr="000F7A49">
        <w:t xml:space="preserve"> 0.0625 inches higher than the bottom of the grooves.</w:t>
      </w:r>
    </w:p>
    <w:p w14:paraId="792D30B7" w14:textId="77777777" w:rsidR="002B345A" w:rsidRDefault="002B345A" w:rsidP="002B345A">
      <w:pPr>
        <w:jc w:val="both"/>
      </w:pPr>
    </w:p>
    <w:p w14:paraId="55B2D45D" w14:textId="2AEBCF48" w:rsidR="002B345A" w:rsidRDefault="002B345A" w:rsidP="002B345A">
      <w:pPr>
        <w:jc w:val="both"/>
      </w:pPr>
      <w:r>
        <w:t>Begin and end diamond grinding at lines normal to the pavement centerline.  Grind only in the longitudinal direction.  All grooves and adjacent passes shall be parallel to each other with no variation.  Completely lap adjacent passes with no unground surface remaining between passes and no overlap of more than 1</w:t>
      </w:r>
      <w:r w:rsidR="00021DD2">
        <w:t xml:space="preserve"> 1/2</w:t>
      </w:r>
      <w:r>
        <w:t xml:space="preserve"> inches.  Adjacent passes shall be within 1/8 inch of the same height as measured with a 3 foot straightedge.  Maintain positive cross-slope drainage for the duration of the grinding operation.</w:t>
      </w:r>
    </w:p>
    <w:p w14:paraId="4889E59A" w14:textId="77777777" w:rsidR="002B345A" w:rsidRDefault="002B345A" w:rsidP="002B345A">
      <w:pPr>
        <w:jc w:val="both"/>
      </w:pPr>
    </w:p>
    <w:p w14:paraId="6D3A1B69" w14:textId="77777777" w:rsidR="002B345A" w:rsidRDefault="002B345A" w:rsidP="002B345A">
      <w:pPr>
        <w:jc w:val="both"/>
      </w:pPr>
      <w:r w:rsidRPr="000F7A49">
        <w:t xml:space="preserve">Grind all travel lanes to include auxiliary lanes, ramps and loops with not </w:t>
      </w:r>
      <w:r>
        <w:t>l</w:t>
      </w:r>
      <w:r w:rsidRPr="000F7A49">
        <w:t>ess than 98 percent of the specified surface being textured by grinding. Grinding of the bridge decks and concrete shoulders will not be required. Remove a minimum 0.</w:t>
      </w:r>
      <w:r w:rsidR="00E31C4A">
        <w:t xml:space="preserve">0625 </w:t>
      </w:r>
      <w:r w:rsidRPr="000F7A49">
        <w:t xml:space="preserve">inches at all locations </w:t>
      </w:r>
      <w:r w:rsidR="00E31C4A">
        <w:t>exce</w:t>
      </w:r>
      <w:r w:rsidRPr="000F7A49">
        <w:t>pt dips.</w:t>
      </w:r>
      <w:r w:rsidR="00E31C4A">
        <w:t xml:space="preserve"> </w:t>
      </w:r>
      <w:r w:rsidRPr="000F7A49">
        <w:t xml:space="preserve"> Extra grinding to eliminate minor depressions is not required. </w:t>
      </w:r>
      <w:r>
        <w:t xml:space="preserve"> I</w:t>
      </w:r>
      <w:r w:rsidRPr="000F7A49">
        <w:t>t is antici</w:t>
      </w:r>
      <w:r>
        <w:t>p</w:t>
      </w:r>
      <w:r w:rsidRPr="000F7A49">
        <w:t xml:space="preserve">ated that extra </w:t>
      </w:r>
      <w:r>
        <w:t>grinding</w:t>
      </w:r>
      <w:r w:rsidRPr="000F7A49">
        <w:t xml:space="preserve"> will be required on the </w:t>
      </w:r>
      <w:r>
        <w:t>high</w:t>
      </w:r>
      <w:r w:rsidRPr="000F7A49">
        <w:t xml:space="preserve"> side of </w:t>
      </w:r>
      <w:r>
        <w:t xml:space="preserve">existing </w:t>
      </w:r>
      <w:r w:rsidRPr="000F7A49">
        <w:t xml:space="preserve">faults in the pavement. There shall be no ridge between lanes. In a separate operation, transition the grinding of any remaining ridges greater than 1/8 inch in height on the outside edge next to the shoulder or at a tie to an existing facility to the satisfaction of the </w:t>
      </w:r>
      <w:r>
        <w:t>E</w:t>
      </w:r>
      <w:r w:rsidRPr="000F7A49">
        <w:t>ngineer.</w:t>
      </w:r>
    </w:p>
    <w:p w14:paraId="693A7C82" w14:textId="77777777" w:rsidR="0054662D" w:rsidRDefault="0054662D" w:rsidP="002B345A">
      <w:pPr>
        <w:jc w:val="both"/>
      </w:pPr>
    </w:p>
    <w:p w14:paraId="03C780B0" w14:textId="18B90F71" w:rsidR="0054662D" w:rsidRPr="006477D5" w:rsidRDefault="0054662D" w:rsidP="0054662D">
      <w:pPr>
        <w:jc w:val="both"/>
        <w:rPr>
          <w:i/>
        </w:rPr>
      </w:pPr>
      <w:r>
        <w:t>Final surface testing is required on this project in accordance with Article 710-7 of the</w:t>
      </w:r>
      <w:r w:rsidRPr="006477D5">
        <w:rPr>
          <w:i/>
        </w:rPr>
        <w:t xml:space="preserve"> Standard Specifications.</w:t>
      </w:r>
      <w:r w:rsidR="002D4837">
        <w:rPr>
          <w:i/>
        </w:rPr>
        <w:t xml:space="preserve">  </w:t>
      </w:r>
      <w:r w:rsidR="002D4837">
        <w:rPr>
          <w:iCs/>
        </w:rPr>
        <w:t>All corrective actions must be approved by the Engineer</w:t>
      </w:r>
      <w:r w:rsidR="00AE6519">
        <w:rPr>
          <w:iCs/>
        </w:rPr>
        <w:t>.</w:t>
      </w:r>
    </w:p>
    <w:p w14:paraId="17A0A446" w14:textId="77777777" w:rsidR="0054662D" w:rsidRDefault="0054662D" w:rsidP="003803EB">
      <w:pPr>
        <w:keepNext/>
        <w:keepLines/>
        <w:jc w:val="both"/>
      </w:pPr>
    </w:p>
    <w:p w14:paraId="08CADE16" w14:textId="77777777" w:rsidR="00292D17" w:rsidRPr="00502F91" w:rsidRDefault="00292D17" w:rsidP="003803EB">
      <w:pPr>
        <w:keepNext/>
        <w:keepLines/>
        <w:jc w:val="both"/>
        <w:rPr>
          <w:b/>
        </w:rPr>
      </w:pPr>
      <w:r w:rsidRPr="00502F91">
        <w:rPr>
          <w:b/>
        </w:rPr>
        <w:t>Disposal of Residual Slurry</w:t>
      </w:r>
    </w:p>
    <w:p w14:paraId="69B69E7F" w14:textId="77777777" w:rsidR="00292D17" w:rsidRPr="00502F91" w:rsidRDefault="00292D17" w:rsidP="003803EB">
      <w:pPr>
        <w:keepNext/>
        <w:keepLines/>
        <w:jc w:val="both"/>
        <w:rPr>
          <w:b/>
        </w:rPr>
      </w:pPr>
    </w:p>
    <w:p w14:paraId="1DEB6A4C" w14:textId="3A9D922C" w:rsidR="000034B7" w:rsidRPr="00502F91" w:rsidRDefault="00292D17" w:rsidP="00292D17">
      <w:pPr>
        <w:jc w:val="both"/>
      </w:pPr>
      <w:r w:rsidRPr="00502F91">
        <w:t xml:space="preserve">Diamond grinding slurry </w:t>
      </w:r>
      <w:r w:rsidR="00EC464A">
        <w:t xml:space="preserve">(DGS) </w:t>
      </w:r>
      <w:r w:rsidRPr="00502F91">
        <w:t xml:space="preserve">disposal shall be in accordance with the </w:t>
      </w:r>
      <w:r w:rsidR="00B7488E">
        <w:t xml:space="preserve">latest </w:t>
      </w:r>
      <w:r w:rsidRPr="00502F91">
        <w:t>Permit No. WQ0035749.  Submit a slurry disposal plan to the Engineer detailing method of handling and disposing of slurry from the diamond grinding operation a minimum of 60 days prior to beginning the diamond grinding operation.  Engineer shall review the slurry disposal plan.  Plan must be accepted prior to beginning the</w:t>
      </w:r>
      <w:r w:rsidR="00455206" w:rsidRPr="00502F91">
        <w:t xml:space="preserve"> diamond grinding operation.  </w:t>
      </w:r>
      <w:r w:rsidR="00A87042">
        <w:t xml:space="preserve">DGS </w:t>
      </w:r>
      <w:r w:rsidR="00DE5A56">
        <w:t>shall</w:t>
      </w:r>
      <w:r w:rsidR="00A87042">
        <w:t xml:space="preserve"> be transported beyond the project limits to an approved permitted site.  No additional payment will be made for transporting this slurry material for disposal.</w:t>
      </w:r>
    </w:p>
    <w:p w14:paraId="6B599842" w14:textId="77777777" w:rsidR="00A87042" w:rsidRDefault="00A87042" w:rsidP="00292D17">
      <w:pPr>
        <w:jc w:val="both"/>
      </w:pPr>
    </w:p>
    <w:p w14:paraId="67331416" w14:textId="77777777" w:rsidR="00C1092B" w:rsidRPr="00502F91" w:rsidRDefault="00242B64" w:rsidP="00292D17">
      <w:pPr>
        <w:jc w:val="both"/>
      </w:pPr>
      <w:r>
        <w:t>D</w:t>
      </w:r>
      <w:r w:rsidR="003803EB" w:rsidRPr="00502F91">
        <w:t>isposal options are:</w:t>
      </w:r>
    </w:p>
    <w:p w14:paraId="2D96706D" w14:textId="77777777" w:rsidR="00C1092B" w:rsidRPr="00502F91" w:rsidRDefault="00C1092B" w:rsidP="00292D17">
      <w:pPr>
        <w:jc w:val="both"/>
      </w:pPr>
    </w:p>
    <w:p w14:paraId="7F63D6AB" w14:textId="77777777" w:rsidR="00D17CD3" w:rsidRPr="00394381" w:rsidRDefault="003803EB" w:rsidP="003803EB">
      <w:pPr>
        <w:pStyle w:val="ListParagraph"/>
        <w:ind w:hanging="720"/>
        <w:jc w:val="both"/>
        <w:rPr>
          <w:rFonts w:ascii="Times New Roman" w:hAnsi="Times New Roman" w:cs="Times New Roman"/>
          <w:sz w:val="24"/>
          <w:szCs w:val="24"/>
        </w:rPr>
      </w:pPr>
      <w:r w:rsidRPr="00394381">
        <w:rPr>
          <w:rFonts w:ascii="Times New Roman" w:hAnsi="Times New Roman" w:cs="Times New Roman"/>
          <w:sz w:val="24"/>
          <w:szCs w:val="24"/>
        </w:rPr>
        <w:t>(A)</w:t>
      </w:r>
      <w:r w:rsidRPr="00394381">
        <w:rPr>
          <w:rFonts w:ascii="Times New Roman" w:hAnsi="Times New Roman" w:cs="Times New Roman"/>
          <w:sz w:val="24"/>
          <w:szCs w:val="24"/>
        </w:rPr>
        <w:tab/>
      </w:r>
      <w:r w:rsidR="00A87042" w:rsidRPr="00A87042">
        <w:rPr>
          <w:rFonts w:ascii="Times New Roman" w:eastAsia="Times New Roman" w:hAnsi="Times New Roman" w:cs="Times New Roman"/>
          <w:sz w:val="24"/>
          <w:szCs w:val="24"/>
        </w:rPr>
        <w:t>Concrete grinding residues (CGR) that are not liquid and otherwise not hazardous may be disposed of in a municipal solid waste landfill or utilized as an alternate daily cover (ADC).  The sanitary landfill operator that requests the use of this material as ADC shall contact the N.C. Department of Environment</w:t>
      </w:r>
      <w:r w:rsidR="00DE5A56">
        <w:rPr>
          <w:rFonts w:ascii="Times New Roman" w:eastAsia="Times New Roman" w:hAnsi="Times New Roman" w:cs="Times New Roman"/>
          <w:sz w:val="24"/>
          <w:szCs w:val="24"/>
        </w:rPr>
        <w:t>al</w:t>
      </w:r>
      <w:r w:rsidR="00A87042" w:rsidRPr="00A87042">
        <w:rPr>
          <w:rFonts w:ascii="Times New Roman" w:eastAsia="Times New Roman" w:hAnsi="Times New Roman" w:cs="Times New Roman"/>
          <w:sz w:val="24"/>
          <w:szCs w:val="24"/>
        </w:rPr>
        <w:t xml:space="preserve"> </w:t>
      </w:r>
      <w:r w:rsidR="00DE5A56">
        <w:rPr>
          <w:rFonts w:ascii="Times New Roman" w:eastAsia="Times New Roman" w:hAnsi="Times New Roman" w:cs="Times New Roman"/>
          <w:sz w:val="24"/>
          <w:szCs w:val="24"/>
        </w:rPr>
        <w:t>Quality</w:t>
      </w:r>
      <w:r w:rsidR="00A87042" w:rsidRPr="00A87042">
        <w:rPr>
          <w:rFonts w:ascii="Times New Roman" w:eastAsia="Times New Roman" w:hAnsi="Times New Roman" w:cs="Times New Roman"/>
          <w:sz w:val="24"/>
          <w:szCs w:val="24"/>
        </w:rPr>
        <w:t xml:space="preserve"> (DE</w:t>
      </w:r>
      <w:r w:rsidR="00DE5A56">
        <w:rPr>
          <w:rFonts w:ascii="Times New Roman" w:eastAsia="Times New Roman" w:hAnsi="Times New Roman" w:cs="Times New Roman"/>
          <w:sz w:val="24"/>
          <w:szCs w:val="24"/>
        </w:rPr>
        <w:t>Q</w:t>
      </w:r>
      <w:r w:rsidR="00A87042" w:rsidRPr="00A87042">
        <w:rPr>
          <w:rFonts w:ascii="Times New Roman" w:eastAsia="Times New Roman" w:hAnsi="Times New Roman" w:cs="Times New Roman"/>
          <w:sz w:val="24"/>
          <w:szCs w:val="24"/>
        </w:rPr>
        <w:t xml:space="preserve">) inspector for approval.  The definition of a solid, for solid waste disposal purposes, is a material that passes a Paint Filter test.  CGR’s may be eligible for disposal or use as ADC in an unlined sanitary landfill or a construction and demolition debris landfill.  If CGR is disposed in an </w:t>
      </w:r>
      <w:proofErr w:type="gramStart"/>
      <w:r w:rsidR="00A87042" w:rsidRPr="00A87042">
        <w:rPr>
          <w:rFonts w:ascii="Times New Roman" w:eastAsia="Times New Roman" w:hAnsi="Times New Roman" w:cs="Times New Roman"/>
          <w:sz w:val="24"/>
          <w:szCs w:val="24"/>
        </w:rPr>
        <w:t>unlined-landfill</w:t>
      </w:r>
      <w:proofErr w:type="gramEnd"/>
      <w:r w:rsidR="00A87042" w:rsidRPr="00A87042">
        <w:rPr>
          <w:rFonts w:ascii="Times New Roman" w:eastAsia="Times New Roman" w:hAnsi="Times New Roman" w:cs="Times New Roman"/>
          <w:sz w:val="24"/>
          <w:szCs w:val="24"/>
        </w:rPr>
        <w:t>, the Contractor shall submit samples of the material to a certified laboratory to verify that the CGR does not exceed Resource Conservation and Recovery Act (RCRA) regulatory limits for the following metals:  Arsenic, Barium, Cadmium, Chromium, Lead, Mercury, Selenium and Silver</w:t>
      </w:r>
      <w:r w:rsidR="00A172FE" w:rsidRPr="00394381">
        <w:rPr>
          <w:rFonts w:ascii="Times New Roman" w:hAnsi="Times New Roman" w:cs="Times New Roman"/>
          <w:sz w:val="24"/>
          <w:szCs w:val="24"/>
        </w:rPr>
        <w:t xml:space="preserve">.  </w:t>
      </w:r>
    </w:p>
    <w:p w14:paraId="342F4C7E" w14:textId="77777777" w:rsidR="00D17CD3" w:rsidRPr="00394381" w:rsidRDefault="00D17CD3" w:rsidP="003803EB">
      <w:pPr>
        <w:pStyle w:val="ListParagraph"/>
        <w:ind w:hanging="720"/>
        <w:jc w:val="both"/>
        <w:rPr>
          <w:rFonts w:ascii="Times New Roman" w:hAnsi="Times New Roman" w:cs="Times New Roman"/>
          <w:sz w:val="24"/>
          <w:szCs w:val="24"/>
        </w:rPr>
      </w:pPr>
    </w:p>
    <w:p w14:paraId="159646AE" w14:textId="615AA2D7" w:rsidR="00D17CD3" w:rsidRDefault="00D17CD3" w:rsidP="003803EB">
      <w:pPr>
        <w:pStyle w:val="ListParagraph"/>
        <w:ind w:hanging="720"/>
        <w:jc w:val="both"/>
        <w:rPr>
          <w:rFonts w:ascii="Times New Roman" w:hAnsi="Times New Roman" w:cs="Times New Roman"/>
          <w:sz w:val="24"/>
          <w:szCs w:val="24"/>
        </w:rPr>
      </w:pPr>
      <w:r w:rsidRPr="00394381">
        <w:rPr>
          <w:rFonts w:ascii="Times New Roman" w:hAnsi="Times New Roman" w:cs="Times New Roman"/>
          <w:sz w:val="24"/>
          <w:szCs w:val="24"/>
        </w:rPr>
        <w:t>(B)</w:t>
      </w:r>
      <w:r w:rsidR="00BC47BD" w:rsidRPr="00394381">
        <w:rPr>
          <w:rFonts w:ascii="Times New Roman" w:hAnsi="Times New Roman" w:cs="Times New Roman"/>
          <w:sz w:val="24"/>
          <w:szCs w:val="24"/>
        </w:rPr>
        <w:tab/>
      </w:r>
      <w:r w:rsidR="00E967B1" w:rsidRPr="002B4AB1">
        <w:rPr>
          <w:rFonts w:ascii="Times New Roman" w:hAnsi="Times New Roman" w:cs="Times New Roman"/>
          <w:sz w:val="24"/>
          <w:szCs w:val="24"/>
        </w:rPr>
        <w:t>Upon the Engineer’s approval, d</w:t>
      </w:r>
      <w:r w:rsidR="00A87042" w:rsidRPr="002B4AB1">
        <w:rPr>
          <w:rFonts w:ascii="Times New Roman" w:eastAsia="Times New Roman" w:hAnsi="Times New Roman" w:cs="Times New Roman"/>
          <w:sz w:val="24"/>
          <w:szCs w:val="24"/>
        </w:rPr>
        <w:t>ewatered</w:t>
      </w:r>
      <w:r w:rsidR="00A87042" w:rsidRPr="00A87042">
        <w:rPr>
          <w:rFonts w:ascii="Times New Roman" w:eastAsia="Times New Roman" w:hAnsi="Times New Roman" w:cs="Times New Roman"/>
          <w:sz w:val="24"/>
          <w:szCs w:val="24"/>
        </w:rPr>
        <w:t xml:space="preserve"> CGR’s may be beneficially reused within the DOT project boundary or areas </w:t>
      </w:r>
      <w:r w:rsidR="00493CB1">
        <w:rPr>
          <w:rFonts w:ascii="Times New Roman" w:eastAsia="Times New Roman" w:hAnsi="Times New Roman" w:cs="Times New Roman"/>
          <w:sz w:val="24"/>
          <w:szCs w:val="24"/>
        </w:rPr>
        <w:t>within</w:t>
      </w:r>
      <w:r w:rsidR="00493CB1" w:rsidRPr="00A87042">
        <w:rPr>
          <w:rFonts w:ascii="Times New Roman" w:eastAsia="Times New Roman" w:hAnsi="Times New Roman" w:cs="Times New Roman"/>
          <w:sz w:val="24"/>
          <w:szCs w:val="24"/>
        </w:rPr>
        <w:t xml:space="preserve"> </w:t>
      </w:r>
      <w:r w:rsidR="00493CB1">
        <w:rPr>
          <w:rFonts w:ascii="Times New Roman" w:eastAsia="Times New Roman" w:hAnsi="Times New Roman" w:cs="Times New Roman"/>
          <w:sz w:val="24"/>
          <w:szCs w:val="24"/>
        </w:rPr>
        <w:t>the highway</w:t>
      </w:r>
      <w:r w:rsidR="00493CB1" w:rsidRPr="00A87042">
        <w:rPr>
          <w:rFonts w:ascii="Times New Roman" w:eastAsia="Times New Roman" w:hAnsi="Times New Roman" w:cs="Times New Roman"/>
          <w:sz w:val="24"/>
          <w:szCs w:val="24"/>
        </w:rPr>
        <w:t xml:space="preserve"> </w:t>
      </w:r>
      <w:r w:rsidR="00493CB1">
        <w:rPr>
          <w:rFonts w:ascii="Times New Roman" w:eastAsia="Times New Roman" w:hAnsi="Times New Roman" w:cs="Times New Roman"/>
          <w:sz w:val="24"/>
          <w:szCs w:val="24"/>
        </w:rPr>
        <w:t>right of way</w:t>
      </w:r>
      <w:r w:rsidR="00493CB1" w:rsidRPr="00A87042">
        <w:rPr>
          <w:rFonts w:ascii="Times New Roman" w:eastAsia="Times New Roman" w:hAnsi="Times New Roman" w:cs="Times New Roman"/>
          <w:sz w:val="24"/>
          <w:szCs w:val="24"/>
        </w:rPr>
        <w:t xml:space="preserve"> </w:t>
      </w:r>
      <w:r w:rsidR="00A87042" w:rsidRPr="00A87042">
        <w:rPr>
          <w:rFonts w:ascii="Times New Roman" w:eastAsia="Times New Roman" w:hAnsi="Times New Roman" w:cs="Times New Roman"/>
          <w:sz w:val="24"/>
          <w:szCs w:val="24"/>
        </w:rPr>
        <w:t>at agronomic rates suitable for the establishment of vegetation. Dewatered CGR’s that meet the solid waste definition for inert debris, North Carolina General Statute 130A-290(a)(14), may also be used within the roadbed at rates approved by the Engineer for soil modification purposes.  If CGR is disposed as beneficial reuse within DOT project boundaries, the Contractor shall submit samples of the material to a certified laboratory to verify that the CGR does not exceed RCRA regulatory limits for the following metals:  Arsenic, Barium, Cadmium, Chromium, Lead, Mercury, Selenium and Silver</w:t>
      </w:r>
      <w:r w:rsidR="00CE09B5" w:rsidRPr="00394381">
        <w:rPr>
          <w:rFonts w:ascii="Times New Roman" w:hAnsi="Times New Roman" w:cs="Times New Roman"/>
          <w:sz w:val="24"/>
          <w:szCs w:val="24"/>
        </w:rPr>
        <w:t>.</w:t>
      </w:r>
      <w:r w:rsidRPr="00394381">
        <w:rPr>
          <w:rFonts w:ascii="Times New Roman" w:hAnsi="Times New Roman" w:cs="Times New Roman"/>
          <w:sz w:val="24"/>
          <w:szCs w:val="24"/>
        </w:rPr>
        <w:tab/>
      </w:r>
    </w:p>
    <w:p w14:paraId="412250EF" w14:textId="77777777" w:rsidR="00EA4984" w:rsidRDefault="00EA4984" w:rsidP="003803EB">
      <w:pPr>
        <w:pStyle w:val="ListParagraph"/>
        <w:ind w:hanging="720"/>
        <w:jc w:val="both"/>
        <w:rPr>
          <w:rFonts w:ascii="Times New Roman" w:hAnsi="Times New Roman" w:cs="Times New Roman"/>
          <w:sz w:val="24"/>
          <w:szCs w:val="24"/>
        </w:rPr>
      </w:pPr>
    </w:p>
    <w:p w14:paraId="5C87C4DA" w14:textId="176AE929" w:rsidR="00EA4984" w:rsidRPr="00C82750" w:rsidRDefault="00EA4984" w:rsidP="00EA4984">
      <w:pPr>
        <w:pStyle w:val="ListParagraph"/>
        <w:ind w:left="0"/>
        <w:jc w:val="both"/>
        <w:rPr>
          <w:rFonts w:ascii="Times New Roman" w:hAnsi="Times New Roman" w:cs="Times New Roman"/>
          <w:iCs/>
          <w:sz w:val="24"/>
          <w:szCs w:val="24"/>
        </w:rPr>
      </w:pPr>
      <w:r>
        <w:rPr>
          <w:rFonts w:ascii="Times New Roman" w:hAnsi="Times New Roman" w:cs="Times New Roman"/>
          <w:sz w:val="24"/>
          <w:szCs w:val="24"/>
        </w:rPr>
        <w:t xml:space="preserve">To prevent the migration of any direct discharge from the diamond grinding machine DGS from entering a drainage inlet or structure, the </w:t>
      </w:r>
      <w:r w:rsidR="00493CB1">
        <w:rPr>
          <w:rFonts w:ascii="Times New Roman" w:hAnsi="Times New Roman" w:cs="Times New Roman"/>
          <w:sz w:val="24"/>
          <w:szCs w:val="24"/>
        </w:rPr>
        <w:t xml:space="preserve">Contractor </w:t>
      </w:r>
      <w:r>
        <w:rPr>
          <w:rFonts w:ascii="Times New Roman" w:hAnsi="Times New Roman" w:cs="Times New Roman"/>
          <w:sz w:val="24"/>
          <w:szCs w:val="24"/>
        </w:rPr>
        <w:t>shall install</w:t>
      </w:r>
      <w:r w:rsidR="002B4AB1">
        <w:rPr>
          <w:rFonts w:ascii="Times New Roman" w:hAnsi="Times New Roman" w:cs="Times New Roman"/>
          <w:sz w:val="24"/>
          <w:szCs w:val="24"/>
        </w:rPr>
        <w:t xml:space="preserve"> </w:t>
      </w:r>
      <w:r>
        <w:rPr>
          <w:rFonts w:ascii="Times New Roman" w:hAnsi="Times New Roman" w:cs="Times New Roman"/>
          <w:sz w:val="24"/>
          <w:szCs w:val="24"/>
        </w:rPr>
        <w:t xml:space="preserve">wattles and silt fence at the direction of the Engineer.  Silt Fence shall be installed in accordance with Section 1605 of the </w:t>
      </w:r>
      <w:r w:rsidRPr="00394381">
        <w:rPr>
          <w:rFonts w:ascii="Times New Roman" w:hAnsi="Times New Roman" w:cs="Times New Roman"/>
          <w:i/>
          <w:sz w:val="24"/>
          <w:szCs w:val="24"/>
        </w:rPr>
        <w:t>Standard Specifications</w:t>
      </w:r>
      <w:r w:rsidR="00C82750">
        <w:rPr>
          <w:rFonts w:ascii="Times New Roman" w:hAnsi="Times New Roman" w:cs="Times New Roman"/>
          <w:iCs/>
          <w:sz w:val="24"/>
          <w:szCs w:val="24"/>
        </w:rPr>
        <w:t>.</w:t>
      </w:r>
    </w:p>
    <w:p w14:paraId="5F97CBD7" w14:textId="77777777" w:rsidR="001123F1" w:rsidRPr="00394381" w:rsidRDefault="001123F1" w:rsidP="003803EB">
      <w:pPr>
        <w:pStyle w:val="ListParagraph"/>
        <w:ind w:hanging="720"/>
        <w:jc w:val="both"/>
        <w:rPr>
          <w:rFonts w:ascii="Times New Roman" w:hAnsi="Times New Roman" w:cs="Times New Roman"/>
          <w:sz w:val="24"/>
          <w:szCs w:val="24"/>
        </w:rPr>
      </w:pPr>
    </w:p>
    <w:p w14:paraId="5D73DF7B" w14:textId="77777777" w:rsidR="002B345A" w:rsidRPr="002B345A" w:rsidRDefault="002B345A" w:rsidP="003803EB">
      <w:pPr>
        <w:keepNext/>
        <w:keepLines/>
        <w:jc w:val="both"/>
        <w:rPr>
          <w:b/>
        </w:rPr>
      </w:pPr>
      <w:r w:rsidRPr="002B345A">
        <w:rPr>
          <w:b/>
        </w:rPr>
        <w:t>Measurement and Payment</w:t>
      </w:r>
    </w:p>
    <w:p w14:paraId="41514C7F" w14:textId="77777777" w:rsidR="002B345A" w:rsidRPr="000F7A49" w:rsidRDefault="002B345A" w:rsidP="003803EB">
      <w:pPr>
        <w:keepNext/>
        <w:keepLines/>
        <w:jc w:val="both"/>
      </w:pPr>
    </w:p>
    <w:p w14:paraId="66F083AB" w14:textId="1FBDC96D" w:rsidR="00A07825" w:rsidRDefault="00A07825" w:rsidP="002B345A">
      <w:pPr>
        <w:jc w:val="both"/>
      </w:pPr>
      <w:r w:rsidRPr="00092749">
        <w:rPr>
          <w:i/>
        </w:rPr>
        <w:t>Diamond Grinding PCC Pavement</w:t>
      </w:r>
      <w:r>
        <w:t xml:space="preserve"> </w:t>
      </w:r>
      <w:bookmarkStart w:id="2" w:name="_Hlk198194293"/>
      <w:r w:rsidR="004927C6">
        <w:t xml:space="preserve">will be measured and </w:t>
      </w:r>
      <w:bookmarkEnd w:id="2"/>
      <w:r>
        <w:t xml:space="preserve">paid </w:t>
      </w:r>
      <w:r w:rsidR="004927C6">
        <w:t xml:space="preserve">as </w:t>
      </w:r>
      <w:r>
        <w:t xml:space="preserve">the actual number of square yards of pavement which has been satisfactorily diamond ground, measured along the final top surface of the pavement.  No separate payment will be made for any overlapping, regrinding, or for extra grinding on the high side of existing faults.  </w:t>
      </w:r>
    </w:p>
    <w:p w14:paraId="33F827AA" w14:textId="77777777" w:rsidR="00A07825" w:rsidRPr="000F7A49" w:rsidRDefault="00A07825" w:rsidP="002B345A">
      <w:pPr>
        <w:jc w:val="both"/>
      </w:pPr>
    </w:p>
    <w:p w14:paraId="521677DA" w14:textId="77777777" w:rsidR="002B345A" w:rsidRDefault="002B345A" w:rsidP="002B345A">
      <w:pPr>
        <w:jc w:val="both"/>
      </w:pPr>
      <w:r w:rsidRPr="000F7A49">
        <w:t xml:space="preserve">Payment </w:t>
      </w:r>
      <w:r w:rsidR="00A07825">
        <w:t>will be</w:t>
      </w:r>
      <w:r w:rsidRPr="000F7A49">
        <w:t xml:space="preserve"> full compensation for the work</w:t>
      </w:r>
      <w:r w:rsidR="00A07825">
        <w:t>, including</w:t>
      </w:r>
      <w:r w:rsidRPr="000F7A49">
        <w:t xml:space="preserve"> but is not limited to grinding, disposal of slurry, </w:t>
      </w:r>
      <w:r w:rsidR="00437F23">
        <w:t xml:space="preserve">final surface testing, </w:t>
      </w:r>
      <w:r>
        <w:t>furnishing</w:t>
      </w:r>
      <w:r w:rsidRPr="000F7A49">
        <w:t xml:space="preserve"> all materials, equipment, labor and all incidentals necessary to </w:t>
      </w:r>
      <w:r w:rsidR="00A07825">
        <w:t xml:space="preserve">satisfactorily </w:t>
      </w:r>
      <w:r w:rsidRPr="000F7A49">
        <w:t>complete the work</w:t>
      </w:r>
      <w:r w:rsidR="00A07825">
        <w:t>.</w:t>
      </w:r>
    </w:p>
    <w:p w14:paraId="744E39ED" w14:textId="77777777" w:rsidR="004927C6" w:rsidRDefault="004927C6" w:rsidP="002B345A">
      <w:pPr>
        <w:jc w:val="both"/>
      </w:pPr>
    </w:p>
    <w:p w14:paraId="169BA9F6" w14:textId="091D128E" w:rsidR="004927C6" w:rsidRDefault="004927C6" w:rsidP="002B345A">
      <w:pPr>
        <w:jc w:val="both"/>
      </w:pPr>
      <w:r w:rsidRPr="00092749">
        <w:rPr>
          <w:i/>
        </w:rPr>
        <w:t>Temporary Silt Fence</w:t>
      </w:r>
      <w:r>
        <w:t xml:space="preserve"> will be measured and paid in accordance with Article 1605-5 of the </w:t>
      </w:r>
      <w:r w:rsidRPr="00955DED">
        <w:rPr>
          <w:i/>
          <w:iCs/>
        </w:rPr>
        <w:t>Standard Specifications</w:t>
      </w:r>
      <w:r>
        <w:t>.</w:t>
      </w:r>
    </w:p>
    <w:p w14:paraId="5EAFDE02" w14:textId="77777777" w:rsidR="004927C6" w:rsidRDefault="004927C6" w:rsidP="002B345A">
      <w:pPr>
        <w:jc w:val="both"/>
      </w:pPr>
    </w:p>
    <w:p w14:paraId="13C95B2F" w14:textId="149F0250" w:rsidR="004927C6" w:rsidRPr="004927C6" w:rsidRDefault="004927C6" w:rsidP="002B345A">
      <w:pPr>
        <w:jc w:val="both"/>
      </w:pPr>
      <w:r>
        <w:rPr>
          <w:i/>
        </w:rPr>
        <w:t xml:space="preserve">Wattle </w:t>
      </w:r>
      <w:r>
        <w:t xml:space="preserve">will be measured and paid in accordance with Article 1642-5 of the </w:t>
      </w:r>
      <w:r w:rsidRPr="00955DED">
        <w:rPr>
          <w:i/>
          <w:iCs/>
        </w:rPr>
        <w:t>Standard Specifications</w:t>
      </w:r>
      <w:r>
        <w:t>.</w:t>
      </w:r>
    </w:p>
    <w:p w14:paraId="4300D0E5" w14:textId="77777777" w:rsidR="00242B64" w:rsidRDefault="00242B64" w:rsidP="002B345A">
      <w:pPr>
        <w:jc w:val="both"/>
      </w:pPr>
    </w:p>
    <w:p w14:paraId="115AADD9" w14:textId="77777777" w:rsidR="002B345A" w:rsidRDefault="002B345A" w:rsidP="002B345A">
      <w:pPr>
        <w:jc w:val="both"/>
      </w:pPr>
      <w:r w:rsidRPr="000F7A49">
        <w:t>Payment will be made under:</w:t>
      </w:r>
    </w:p>
    <w:p w14:paraId="5ECC0A56" w14:textId="77777777" w:rsidR="002B345A" w:rsidRPr="000F7A49" w:rsidRDefault="002B345A" w:rsidP="002B345A">
      <w:pPr>
        <w:jc w:val="both"/>
      </w:pPr>
    </w:p>
    <w:tbl>
      <w:tblPr>
        <w:tblW w:w="9458" w:type="dxa"/>
        <w:tblLook w:val="01E0" w:firstRow="1" w:lastRow="1" w:firstColumn="1" w:lastColumn="1" w:noHBand="0" w:noVBand="0"/>
      </w:tblPr>
      <w:tblGrid>
        <w:gridCol w:w="5905"/>
        <w:gridCol w:w="3553"/>
      </w:tblGrid>
      <w:tr w:rsidR="002B345A" w:rsidRPr="001F7A2B" w14:paraId="63132749" w14:textId="77777777" w:rsidTr="001F7A2B">
        <w:tc>
          <w:tcPr>
            <w:tcW w:w="5905" w:type="dxa"/>
            <w:shd w:val="clear" w:color="auto" w:fill="auto"/>
          </w:tcPr>
          <w:p w14:paraId="54B58166" w14:textId="77777777" w:rsidR="002B345A" w:rsidRPr="001F7A2B" w:rsidRDefault="002B345A" w:rsidP="001F7A2B">
            <w:pPr>
              <w:jc w:val="both"/>
              <w:rPr>
                <w:b/>
              </w:rPr>
            </w:pPr>
            <w:r w:rsidRPr="001F7A2B">
              <w:rPr>
                <w:b/>
              </w:rPr>
              <w:t>Pay Item</w:t>
            </w:r>
          </w:p>
        </w:tc>
        <w:tc>
          <w:tcPr>
            <w:tcW w:w="3553" w:type="dxa"/>
            <w:shd w:val="clear" w:color="auto" w:fill="auto"/>
          </w:tcPr>
          <w:p w14:paraId="5231FF12" w14:textId="77777777" w:rsidR="002B345A" w:rsidRPr="001F7A2B" w:rsidRDefault="002B345A" w:rsidP="001F7A2B">
            <w:pPr>
              <w:jc w:val="both"/>
              <w:rPr>
                <w:b/>
              </w:rPr>
            </w:pPr>
            <w:r w:rsidRPr="001F7A2B">
              <w:rPr>
                <w:b/>
              </w:rPr>
              <w:t>Pay Unit</w:t>
            </w:r>
          </w:p>
        </w:tc>
      </w:tr>
      <w:tr w:rsidR="002B345A" w:rsidRPr="001F7A2B" w14:paraId="77521AAB" w14:textId="77777777" w:rsidTr="006F6CAB">
        <w:trPr>
          <w:trHeight w:val="297"/>
        </w:trPr>
        <w:tc>
          <w:tcPr>
            <w:tcW w:w="5905" w:type="dxa"/>
            <w:shd w:val="clear" w:color="auto" w:fill="auto"/>
          </w:tcPr>
          <w:p w14:paraId="70D6FBE0" w14:textId="77777777" w:rsidR="002B345A" w:rsidRPr="001F7A2B" w:rsidRDefault="002B345A" w:rsidP="001F7A2B">
            <w:pPr>
              <w:jc w:val="both"/>
              <w:rPr>
                <w:b/>
              </w:rPr>
            </w:pPr>
            <w:r>
              <w:t>Diamond Grinding PCC Pavement</w:t>
            </w:r>
          </w:p>
        </w:tc>
        <w:tc>
          <w:tcPr>
            <w:tcW w:w="3553" w:type="dxa"/>
            <w:shd w:val="clear" w:color="auto" w:fill="auto"/>
          </w:tcPr>
          <w:p w14:paraId="0289B0D9" w14:textId="77777777" w:rsidR="002B345A" w:rsidRPr="001F7A2B" w:rsidRDefault="002B345A" w:rsidP="001F7A2B">
            <w:pPr>
              <w:ind w:right="1388"/>
              <w:jc w:val="both"/>
              <w:rPr>
                <w:b/>
              </w:rPr>
            </w:pPr>
            <w:r>
              <w:t>Square Yard</w:t>
            </w:r>
          </w:p>
        </w:tc>
      </w:tr>
    </w:tbl>
    <w:p w14:paraId="2567E6C1" w14:textId="77777777" w:rsidR="009E2ED9" w:rsidRDefault="009E2ED9" w:rsidP="002B345A"/>
    <w:sectPr w:rsidR="009E2ED9" w:rsidSect="00433DF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D14B" w14:textId="77777777" w:rsidR="00D922E3" w:rsidRDefault="00D922E3">
      <w:r>
        <w:separator/>
      </w:r>
    </w:p>
  </w:endnote>
  <w:endnote w:type="continuationSeparator" w:id="0">
    <w:p w14:paraId="37256C5D" w14:textId="77777777" w:rsidR="00D922E3" w:rsidRDefault="00D9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8DEF" w14:textId="77777777" w:rsidR="00D922E3" w:rsidRDefault="00D922E3">
      <w:r>
        <w:separator/>
      </w:r>
    </w:p>
  </w:footnote>
  <w:footnote w:type="continuationSeparator" w:id="0">
    <w:p w14:paraId="2D594919" w14:textId="77777777" w:rsidR="00D922E3" w:rsidRDefault="00D92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A41"/>
    <w:multiLevelType w:val="hybridMultilevel"/>
    <w:tmpl w:val="C6F437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703722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5A"/>
    <w:rsid w:val="000034B7"/>
    <w:rsid w:val="000057E2"/>
    <w:rsid w:val="00021DD2"/>
    <w:rsid w:val="00023090"/>
    <w:rsid w:val="00040BD7"/>
    <w:rsid w:val="00056D30"/>
    <w:rsid w:val="00092749"/>
    <w:rsid w:val="000A24F8"/>
    <w:rsid w:val="000C7201"/>
    <w:rsid w:val="000E3778"/>
    <w:rsid w:val="001123F1"/>
    <w:rsid w:val="001355B4"/>
    <w:rsid w:val="001373DB"/>
    <w:rsid w:val="0018648A"/>
    <w:rsid w:val="001C1799"/>
    <w:rsid w:val="001D5D6D"/>
    <w:rsid w:val="001F73ED"/>
    <w:rsid w:val="001F7A2B"/>
    <w:rsid w:val="00200F90"/>
    <w:rsid w:val="00242B64"/>
    <w:rsid w:val="00272AFF"/>
    <w:rsid w:val="00274199"/>
    <w:rsid w:val="00292D17"/>
    <w:rsid w:val="002B345A"/>
    <w:rsid w:val="002B4AB1"/>
    <w:rsid w:val="002D4837"/>
    <w:rsid w:val="002E3ED8"/>
    <w:rsid w:val="002E4639"/>
    <w:rsid w:val="00332D14"/>
    <w:rsid w:val="0034551B"/>
    <w:rsid w:val="003803EB"/>
    <w:rsid w:val="00394381"/>
    <w:rsid w:val="0039770D"/>
    <w:rsid w:val="003D5BC8"/>
    <w:rsid w:val="003F345D"/>
    <w:rsid w:val="00422B93"/>
    <w:rsid w:val="00433DFB"/>
    <w:rsid w:val="004356B4"/>
    <w:rsid w:val="00437F23"/>
    <w:rsid w:val="004467BF"/>
    <w:rsid w:val="00455206"/>
    <w:rsid w:val="004927C6"/>
    <w:rsid w:val="00493CB1"/>
    <w:rsid w:val="00502F91"/>
    <w:rsid w:val="0051367C"/>
    <w:rsid w:val="00543B4B"/>
    <w:rsid w:val="0054662D"/>
    <w:rsid w:val="00570040"/>
    <w:rsid w:val="005801FA"/>
    <w:rsid w:val="00586ECD"/>
    <w:rsid w:val="0059162C"/>
    <w:rsid w:val="005A4E51"/>
    <w:rsid w:val="005B1439"/>
    <w:rsid w:val="005E3CFE"/>
    <w:rsid w:val="00690016"/>
    <w:rsid w:val="006954B0"/>
    <w:rsid w:val="00697D29"/>
    <w:rsid w:val="006C26A9"/>
    <w:rsid w:val="006D122A"/>
    <w:rsid w:val="006D2246"/>
    <w:rsid w:val="006F238A"/>
    <w:rsid w:val="006F6CAB"/>
    <w:rsid w:val="00716E57"/>
    <w:rsid w:val="00724A83"/>
    <w:rsid w:val="007507ED"/>
    <w:rsid w:val="00767938"/>
    <w:rsid w:val="00770332"/>
    <w:rsid w:val="007829FE"/>
    <w:rsid w:val="007B0073"/>
    <w:rsid w:val="007C522C"/>
    <w:rsid w:val="00806852"/>
    <w:rsid w:val="008263DC"/>
    <w:rsid w:val="008328F9"/>
    <w:rsid w:val="00835962"/>
    <w:rsid w:val="008360D0"/>
    <w:rsid w:val="008B4C1E"/>
    <w:rsid w:val="008C48DD"/>
    <w:rsid w:val="008C5E74"/>
    <w:rsid w:val="00936E91"/>
    <w:rsid w:val="00970743"/>
    <w:rsid w:val="00976577"/>
    <w:rsid w:val="00986B5F"/>
    <w:rsid w:val="00991B2E"/>
    <w:rsid w:val="009A7C46"/>
    <w:rsid w:val="009C2170"/>
    <w:rsid w:val="009E2ED9"/>
    <w:rsid w:val="009F147D"/>
    <w:rsid w:val="00A06BC7"/>
    <w:rsid w:val="00A07825"/>
    <w:rsid w:val="00A113C9"/>
    <w:rsid w:val="00A172FE"/>
    <w:rsid w:val="00A21E6A"/>
    <w:rsid w:val="00A43F3A"/>
    <w:rsid w:val="00A67B02"/>
    <w:rsid w:val="00A87042"/>
    <w:rsid w:val="00A927DE"/>
    <w:rsid w:val="00A934C8"/>
    <w:rsid w:val="00AA3565"/>
    <w:rsid w:val="00AB2B56"/>
    <w:rsid w:val="00AE6519"/>
    <w:rsid w:val="00B503D4"/>
    <w:rsid w:val="00B706DD"/>
    <w:rsid w:val="00B7488E"/>
    <w:rsid w:val="00B86947"/>
    <w:rsid w:val="00BA7734"/>
    <w:rsid w:val="00BC47BD"/>
    <w:rsid w:val="00BD648A"/>
    <w:rsid w:val="00C1092B"/>
    <w:rsid w:val="00C43C48"/>
    <w:rsid w:val="00C4613F"/>
    <w:rsid w:val="00C82750"/>
    <w:rsid w:val="00C85509"/>
    <w:rsid w:val="00C86478"/>
    <w:rsid w:val="00C867BF"/>
    <w:rsid w:val="00C9666D"/>
    <w:rsid w:val="00CB12F5"/>
    <w:rsid w:val="00CB7AC5"/>
    <w:rsid w:val="00CD7400"/>
    <w:rsid w:val="00CE09B5"/>
    <w:rsid w:val="00D02496"/>
    <w:rsid w:val="00D17CD3"/>
    <w:rsid w:val="00D61215"/>
    <w:rsid w:val="00D77E18"/>
    <w:rsid w:val="00D86A7E"/>
    <w:rsid w:val="00D922E3"/>
    <w:rsid w:val="00D96215"/>
    <w:rsid w:val="00DC13BB"/>
    <w:rsid w:val="00DC1A06"/>
    <w:rsid w:val="00DC2B7A"/>
    <w:rsid w:val="00DD39DA"/>
    <w:rsid w:val="00DE5A56"/>
    <w:rsid w:val="00E31C4A"/>
    <w:rsid w:val="00E34506"/>
    <w:rsid w:val="00E76B07"/>
    <w:rsid w:val="00E851D5"/>
    <w:rsid w:val="00E92DA5"/>
    <w:rsid w:val="00E967B1"/>
    <w:rsid w:val="00EA4984"/>
    <w:rsid w:val="00EB7325"/>
    <w:rsid w:val="00EB7347"/>
    <w:rsid w:val="00EC464A"/>
    <w:rsid w:val="00ED66BE"/>
    <w:rsid w:val="00EE3B34"/>
    <w:rsid w:val="00F32217"/>
    <w:rsid w:val="00F372F7"/>
    <w:rsid w:val="00F37360"/>
    <w:rsid w:val="00F51145"/>
    <w:rsid w:val="00F86463"/>
    <w:rsid w:val="00F87310"/>
    <w:rsid w:val="00FC4939"/>
    <w:rsid w:val="00FD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1A59F"/>
  <w15:docId w15:val="{7268D9B6-6E54-49ED-B821-BC5E843B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45A"/>
    <w:pPr>
      <w:tabs>
        <w:tab w:val="center" w:pos="4320"/>
        <w:tab w:val="right" w:pos="8640"/>
      </w:tabs>
    </w:pPr>
  </w:style>
  <w:style w:type="paragraph" w:styleId="Footer">
    <w:name w:val="footer"/>
    <w:basedOn w:val="Normal"/>
    <w:rsid w:val="002B345A"/>
    <w:pPr>
      <w:tabs>
        <w:tab w:val="center" w:pos="4320"/>
        <w:tab w:val="right" w:pos="8640"/>
      </w:tabs>
    </w:pPr>
  </w:style>
  <w:style w:type="table" w:styleId="TableGrid">
    <w:name w:val="Table Grid"/>
    <w:basedOn w:val="TableNormal"/>
    <w:rsid w:val="002B3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2D17"/>
    <w:rPr>
      <w:color w:val="0000FF"/>
      <w:u w:val="single"/>
    </w:rPr>
  </w:style>
  <w:style w:type="paragraph" w:styleId="ListParagraph">
    <w:name w:val="List Paragraph"/>
    <w:basedOn w:val="Normal"/>
    <w:uiPriority w:val="34"/>
    <w:qFormat/>
    <w:rsid w:val="00292D17"/>
    <w:pPr>
      <w:ind w:left="720"/>
    </w:pPr>
    <w:rPr>
      <w:rFonts w:ascii="Calibri" w:eastAsia="Calibri" w:hAnsi="Calibri" w:cs="Calibri"/>
      <w:sz w:val="22"/>
      <w:szCs w:val="22"/>
    </w:rPr>
  </w:style>
  <w:style w:type="paragraph" w:styleId="BalloonText">
    <w:name w:val="Balloon Text"/>
    <w:basedOn w:val="Normal"/>
    <w:link w:val="BalloonTextChar"/>
    <w:rsid w:val="000034B7"/>
    <w:rPr>
      <w:rFonts w:ascii="Tahoma" w:hAnsi="Tahoma" w:cs="Tahoma"/>
      <w:sz w:val="16"/>
      <w:szCs w:val="16"/>
    </w:rPr>
  </w:style>
  <w:style w:type="character" w:customStyle="1" w:styleId="BalloonTextChar">
    <w:name w:val="Balloon Text Char"/>
    <w:link w:val="BalloonText"/>
    <w:rsid w:val="000034B7"/>
    <w:rPr>
      <w:rFonts w:ascii="Tahoma" w:hAnsi="Tahoma" w:cs="Tahoma"/>
      <w:sz w:val="16"/>
      <w:szCs w:val="16"/>
    </w:rPr>
  </w:style>
  <w:style w:type="character" w:styleId="CommentReference">
    <w:name w:val="annotation reference"/>
    <w:rsid w:val="00D02496"/>
    <w:rPr>
      <w:sz w:val="16"/>
      <w:szCs w:val="16"/>
    </w:rPr>
  </w:style>
  <w:style w:type="paragraph" w:styleId="CommentText">
    <w:name w:val="annotation text"/>
    <w:basedOn w:val="Normal"/>
    <w:link w:val="CommentTextChar"/>
    <w:rsid w:val="00D02496"/>
    <w:rPr>
      <w:sz w:val="20"/>
    </w:rPr>
  </w:style>
  <w:style w:type="character" w:customStyle="1" w:styleId="CommentTextChar">
    <w:name w:val="Comment Text Char"/>
    <w:basedOn w:val="DefaultParagraphFont"/>
    <w:link w:val="CommentText"/>
    <w:rsid w:val="00D02496"/>
  </w:style>
  <w:style w:type="paragraph" w:styleId="CommentSubject">
    <w:name w:val="annotation subject"/>
    <w:basedOn w:val="CommentText"/>
    <w:next w:val="CommentText"/>
    <w:link w:val="CommentSubjectChar"/>
    <w:rsid w:val="00D02496"/>
    <w:rPr>
      <w:b/>
      <w:bCs/>
    </w:rPr>
  </w:style>
  <w:style w:type="character" w:customStyle="1" w:styleId="CommentSubjectChar">
    <w:name w:val="Comment Subject Char"/>
    <w:link w:val="CommentSubject"/>
    <w:rsid w:val="00D02496"/>
    <w:rPr>
      <w:b/>
      <w:bCs/>
    </w:rPr>
  </w:style>
  <w:style w:type="character" w:styleId="FollowedHyperlink">
    <w:name w:val="FollowedHyperlink"/>
    <w:rsid w:val="00242B64"/>
    <w:rPr>
      <w:color w:val="800080"/>
      <w:u w:val="single"/>
    </w:rPr>
  </w:style>
  <w:style w:type="paragraph" w:styleId="Revision">
    <w:name w:val="Revision"/>
    <w:hidden/>
    <w:uiPriority w:val="99"/>
    <w:semiHidden/>
    <w:rsid w:val="00697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DIAMOND GRINDING CONCRETE PAVEMENT (SLURRY OFF SITE)</Provision>
    <File_x0020_Category xmlns="18eea951-c1a4-4244-8cc7-be1efbfe7cb6" xsi:nil="true"/>
    <Provision_x0020_Number xmlns="18eea951-c1a4-4244-8cc7-be1efbfe7cb6">SPI 07-09A</Provision_x0020_Number>
    <Let_x0020_Date xmlns="18eea951-c1a4-4244-8cc7-be1efbfe7cb6">2025-07</Let_x0020_Date>
    <Provision_x0020_Year xmlns="18eea951-c1a4-4244-8cc7-be1efbfe7cb6">2024 Standard Specifications</Provision_x0020_Year>
    <URL xmlns="http://schemas.microsoft.com/sharepoint/v3">
      <Url xsi:nil="true"/>
      <Description xsi:nil="true"/>
    </URL>
    <No_x002e_ xmlns="18eea951-c1a4-4244-8cc7-be1efbfe7cb6">SPI 07</No_x002e_>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AFF8D88-A9EB-459B-AF66-6D3E9C4090FF}"/>
</file>

<file path=customXml/itemProps2.xml><?xml version="1.0" encoding="utf-8"?>
<ds:datastoreItem xmlns:ds="http://schemas.openxmlformats.org/officeDocument/2006/customXml" ds:itemID="{F0F591B4-4FA9-4641-9569-34C2BE14A5EF}">
  <ds:schemaRefs>
    <ds:schemaRef ds:uri="http://schemas.microsoft.com/sharepoint/v3/contenttype/forms"/>
  </ds:schemaRefs>
</ds:datastoreItem>
</file>

<file path=customXml/itemProps3.xml><?xml version="1.0" encoding="utf-8"?>
<ds:datastoreItem xmlns:ds="http://schemas.openxmlformats.org/officeDocument/2006/customXml" ds:itemID="{7C734E0C-B2B9-4E11-932E-5AF2CA96F746}">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33B174CC-3CC5-4D7A-B71B-69B96460F8A6}"/>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DIAMOND GRINDING CONCRETE PAVEMENT:</vt:lpstr>
    </vt:vector>
  </TitlesOfParts>
  <Company>NCDOT</Company>
  <LinksUpToDate>false</LinksUpToDate>
  <CharactersWithSpaces>7241</CharactersWithSpaces>
  <SharedDoc>false</SharedDoc>
  <HLinks>
    <vt:vector size="6" baseType="variant">
      <vt:variant>
        <vt:i4>2490413</vt:i4>
      </vt:variant>
      <vt:variant>
        <vt:i4>0</vt:i4>
      </vt:variant>
      <vt:variant>
        <vt:i4>0</vt:i4>
      </vt:variant>
      <vt:variant>
        <vt:i4>5</vt:i4>
      </vt:variant>
      <vt:variant>
        <vt:lpwstr>https://connect.ncdot.gov/resources/Environmental/Environmental Permits and Guidelines/Forms/AllItems.aspx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GRINDING CONCRETE PAVEMENT (SLURRY OFF SITE)</dc:title>
  <dc:creator>fadams</dc:creator>
  <cp:keywords>SPI 07-09, SPI 7-9, SPI 7-09, SPI7-9, SPI7-09, SPI07-09, Diamond, Grinding, Concrete, Pavement, Diamond Grinding Concrete Pavement</cp:keywords>
  <cp:lastModifiedBy>Penny, Lisa E</cp:lastModifiedBy>
  <cp:revision>2</cp:revision>
  <cp:lastPrinted>2016-06-09T18:59:00Z</cp:lastPrinted>
  <dcterms:created xsi:type="dcterms:W3CDTF">2025-05-22T15:10:00Z</dcterms:created>
  <dcterms:modified xsi:type="dcterms:W3CDTF">2025-05-22T15:10:00Z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28300</vt:r8>
  </property>
</Properties>
</file>